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IA, Cibersegurança e privacidade: como proteger dados sensíveis na era da Inteligência Artificial Generativa</w:t>
      </w:r>
    </w:p>
    <w:p w:rsidR="00000000" w:rsidDel="00000000" w:rsidP="00000000" w:rsidRDefault="00000000" w:rsidRPr="00000000" w14:paraId="00000003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Taxa de crescimento da tecnologia na próxima década deve ser de 42% ao ano – quase dobrando seu alcance</w:t>
      </w:r>
    </w:p>
    <w:p w:rsidR="00000000" w:rsidDel="00000000" w:rsidP="00000000" w:rsidRDefault="00000000" w:rsidRPr="00000000" w14:paraId="00000005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São Paulo, novembro de 2024</w:t>
      </w:r>
      <w:r w:rsidDel="00000000" w:rsidR="00000000" w:rsidRPr="00000000">
        <w:rPr>
          <w:rtl w:val="0"/>
        </w:rPr>
        <w:t xml:space="preserve"> – A rápida adoção da Inteligência Artificial Generativa (Gen IA) nas empresas está redefinindo processos, permitindo inovações e impulsionando a automação. Segundo estudo recente da Bloomberg Intelligence, a taxa de crescimento da IA na próxima década deve ser de 42% ao ano – quase dobrando seu alcance. No entanto, o sucesso dessas soluções depende de uma gestão cuidadosa dos dados que alimentam esses modelos. É aqui que entra a cibersegurança, elemento vital para a proteção da privacidade e da integridade das informações.</w:t>
      </w:r>
    </w:p>
    <w:p w:rsidR="00000000" w:rsidDel="00000000" w:rsidP="00000000" w:rsidRDefault="00000000" w:rsidRPr="00000000" w14:paraId="00000007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 IA Generativa vai além dos modelos tradicionais de inteligência artificial, que apenas classificam ou prevêem comportamentos, pois cria novos conteúdos como textos, imagens e códigos. Essa capacidade de inovação abre novas possibilidades em diversos setores, mas exige uma abordagem cuidadosa em relação ao uso e à segurança dos dados e isso é reconhecido pelas pessoas que usam a tecnologia no dia a dia. Segundo a  pesquisa da Developer Survey 2024 da Stack OverFlow, um dos principais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 desafios (31,5%) </w:t>
      </w:r>
      <w:r w:rsidDel="00000000" w:rsidR="00000000" w:rsidRPr="00000000">
        <w:rPr>
          <w:rtl w:val="0"/>
        </w:rPr>
        <w:t xml:space="preserve">de se trabalhar com IA é não ter políticas certas para mitigar os riscos de segurança.   </w:t>
      </w:r>
    </w:p>
    <w:p w:rsidR="00000000" w:rsidDel="00000000" w:rsidP="00000000" w:rsidRDefault="00000000" w:rsidRPr="00000000" w14:paraId="00000009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Nesse sentido, o </w:t>
      </w:r>
      <w:r w:rsidDel="00000000" w:rsidR="00000000" w:rsidRPr="00000000">
        <w:rPr>
          <w:i w:val="1"/>
          <w:rtl w:val="0"/>
        </w:rPr>
        <w:t xml:space="preserve">Technical Product Manager</w:t>
      </w:r>
      <w:r w:rsidDel="00000000" w:rsidR="00000000" w:rsidRPr="00000000">
        <w:rPr>
          <w:rtl w:val="0"/>
        </w:rPr>
        <w:t xml:space="preserve"> João Batista, responsável pela plataforma StackSpot AI da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Zup</w:t>
        </w:r>
      </w:hyperlink>
      <w:r w:rsidDel="00000000" w:rsidR="00000000" w:rsidRPr="00000000">
        <w:rPr>
          <w:rtl w:val="0"/>
        </w:rPr>
        <w:t xml:space="preserve">, explica que para mitigar esses riscos, as empresas devem implementar medidas de segurança rigorosas, tendo em vista que os crimes cibernéticos estão cada vez mais sofisticados e até 2025 podem custar 10,5 trilhões de dólares, de acordo com a Cyber Security Almanac. </w:t>
      </w:r>
    </w:p>
    <w:p w:rsidR="00000000" w:rsidDel="00000000" w:rsidP="00000000" w:rsidRDefault="00000000" w:rsidRPr="00000000" w14:paraId="0000000B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"Garantir que modelos de AI operem de forma segura e ética exige uma abordagem multifacetada, que combina criptografia robusta, governança de dados eficaz, práticas de privacidade rigorosas e controles de acesso restritos durante o treinamento dos modelos. Se fizermos um recorte para as empresas que criam tecnologia, ter um assistente de desenvolvimento de software impulsionado por IA treinado em segurança pode apoiar o time para garantir que o código siga as práticas recomendadas de codificação segura. Este, por exemplo, é um mecanismo preditivo de identificação de vulnerabilidade. Cada vez mais, o caminho é pensar em uma estratégia conjunta que considere inovação, segurança e proteção de dados como um tripé essencial para a aplicação desse tipo de tecnologia", ressalta João Batista.</w:t>
      </w:r>
    </w:p>
    <w:p w:rsidR="00000000" w:rsidDel="00000000" w:rsidP="00000000" w:rsidRDefault="00000000" w:rsidRPr="00000000" w14:paraId="0000000D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/>
      </w:pPr>
      <w:r w:rsidDel="00000000" w:rsidR="00000000" w:rsidRPr="00000000">
        <w:rPr>
          <w:color w:val="222222"/>
          <w:highlight w:val="white"/>
          <w:rtl w:val="0"/>
        </w:rPr>
        <w:t xml:space="preserve">No que tange a legislação, Henrique Flôres, cofundador da Contraktor e líder do desenvolvimento do CK Reader, IA da startup, explica que “enquanto aguardamos uma legislação para melhor regulamentar o uso da I.A. Generativa, compete aos profissionais de tecnologia zelar pela aplicação de boas práticas de criptografia, anonimização de dados e políticas de governança de t.i. que possam garantir o equilíbrio dos interesses comerciais das partes, a transparência nos mecanismos de treinamento de algoritmos e o uso ético na manipulação dos dados”.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Embora reconheça que inovar com tecnologias emergentes, como a Inteligência Artificial Generativa, seja uma oportunidade única de transformação, Giovanna Rossi, CPO da Rethink, consultoria de tecnologia, design e estratégia, reforça que não dá para negar que ela vem acompanhada por riscos significativos, como a exposição de informações sensíveis e a possibilidade de ataques cibernéticos sofisticados. “Como responsável pela área de produtos digitais, vejo o quão fundamental é a liderança priorizar uma abordagem estratégica no uso da IA para mitigar tais riscos. Temos a responsabilidade de moldar essa tecnologia de maneira ética e segura, garantindo que seu impacto seja positivo e sustentável para todos", afirma a executiva. </w:t>
      </w:r>
    </w:p>
    <w:p w:rsidR="00000000" w:rsidDel="00000000" w:rsidP="00000000" w:rsidRDefault="00000000" w:rsidRPr="00000000" w14:paraId="00000011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highlight w:val="white"/>
          <w:rtl w:val="0"/>
        </w:rPr>
        <w:t xml:space="preserve">O Brasil tem um alto volume de dados circulando na internet e um processo de digitalização acelerado. No que se refere a proteção de marca, Diego Daminelli, CEO da BrandMonitor, empresa pioneira e especialista no combate à concorrência desleal no ambiente digital, alerta que a infraestrutura de segurança brasileira ainda caminha a passos lentos, tornando o país um dos maiores alvos de ciberataques do mundo, com uma maior sofisticação dos ataques por parte dos criminosos. “A cultura de segurança ainda é um tópico pouco valorizado por diversas empresas, que não utilizam IA e sim tecnologias desatualizadas, que podem deixá-las vulneráveis a ataques e não são capazes de monitorar a presença digital da marca em toda sua amplitude”. O especialista dá o exemplo do </w:t>
      </w:r>
      <w:r w:rsidDel="00000000" w:rsidR="00000000" w:rsidRPr="00000000">
        <w:rPr>
          <w:i w:val="1"/>
          <w:highlight w:val="white"/>
          <w:rtl w:val="0"/>
        </w:rPr>
        <w:t xml:space="preserve">phishing</w:t>
      </w:r>
      <w:r w:rsidDel="00000000" w:rsidR="00000000" w:rsidRPr="00000000">
        <w:rPr>
          <w:highlight w:val="white"/>
          <w:rtl w:val="0"/>
        </w:rPr>
        <w:t xml:space="preserve">, grande problema para segmentos como o varejo e prestação de serviços. “Os anúncios são veiculados em plataformas digitais utilizando toda a identidade de uma marca e prometendo descontos impraticáveis. Esse anúncio leva a uma pagina que imita o layout oficial da empresa, mas com um endereço diferente. Nessa página são oferecidos produtos ou serviços com um preço extremamente baixo, induzindo o cliente a compra”, finaliza.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spacing w:before="200" w:line="276" w:lineRule="auto"/>
      <w:jc w:val="center"/>
      <w:rPr/>
    </w:pPr>
    <w:r w:rsidDel="00000000" w:rsidR="00000000" w:rsidRPr="00000000">
      <w:rPr>
        <w:rFonts w:ascii="Montserrat Medium" w:cs="Montserrat Medium" w:eastAsia="Montserrat Medium" w:hAnsi="Montserrat Medium"/>
      </w:rPr>
      <w:drawing>
        <wp:inline distB="114300" distT="114300" distL="114300" distR="114300">
          <wp:extent cx="1214438" cy="72422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14438" cy="72422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zup.com.br/" TargetMode="Externa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MontserratMedium-regular.ttf"/><Relationship Id="rId6" Type="http://schemas.openxmlformats.org/officeDocument/2006/relationships/font" Target="fonts/MontserratMedium-bold.ttf"/><Relationship Id="rId7" Type="http://schemas.openxmlformats.org/officeDocument/2006/relationships/font" Target="fonts/MontserratMedium-italic.ttf"/><Relationship Id="rId8" Type="http://schemas.openxmlformats.org/officeDocument/2006/relationships/font" Target="fonts/Montserrat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